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3BAD" w14:textId="77777777" w:rsidR="000977FB" w:rsidRDefault="000977FB" w:rsidP="000977FB">
      <w:pPr>
        <w:pStyle w:val="Date"/>
        <w:rPr>
          <w:b/>
        </w:rPr>
      </w:pPr>
      <w:r>
        <w:rPr>
          <w:b/>
        </w:rPr>
        <w:t>Our objective is to make sure allergenic ingredients do not find their way into products for which they are not intended.</w:t>
      </w:r>
    </w:p>
    <w:p w14:paraId="113247F9" w14:textId="77777777" w:rsidR="000977FB" w:rsidRDefault="000977FB" w:rsidP="000977FB"/>
    <w:p w14:paraId="50FFD30E" w14:textId="77777777" w:rsidR="000977FB" w:rsidRPr="000977FB" w:rsidRDefault="000977FB" w:rsidP="000977FB">
      <w:pPr>
        <w:rPr>
          <w:b/>
          <w:u w:val="single"/>
        </w:rPr>
      </w:pPr>
      <w:r w:rsidRPr="000977FB">
        <w:rPr>
          <w:b/>
          <w:u w:val="single"/>
        </w:rPr>
        <w:t>Good manufacturing practices are always followed:</w:t>
      </w:r>
    </w:p>
    <w:p w14:paraId="01509163" w14:textId="77777777" w:rsidR="000977FB" w:rsidRDefault="000977FB" w:rsidP="000977FB"/>
    <w:p w14:paraId="0AE63984" w14:textId="77777777" w:rsidR="000977FB" w:rsidRDefault="000977FB" w:rsidP="000977FB">
      <w:pPr>
        <w:numPr>
          <w:ilvl w:val="0"/>
          <w:numId w:val="1"/>
        </w:numPr>
      </w:pPr>
      <w:r>
        <w:rPr>
          <w:b/>
        </w:rPr>
        <w:t>Receiving</w:t>
      </w:r>
      <w:r>
        <w:t>:</w:t>
      </w:r>
    </w:p>
    <w:p w14:paraId="3D39396C" w14:textId="77777777" w:rsidR="000977FB" w:rsidRDefault="000977FB" w:rsidP="000977FB">
      <w:r>
        <w:t xml:space="preserve">                            </w:t>
      </w:r>
    </w:p>
    <w:p w14:paraId="575CB99D" w14:textId="77777777" w:rsidR="000977FB" w:rsidRDefault="000977FB" w:rsidP="000977FB">
      <w:pPr>
        <w:numPr>
          <w:ilvl w:val="0"/>
          <w:numId w:val="2"/>
        </w:numPr>
      </w:pPr>
      <w:r>
        <w:t>Containers with no legible ingredient labels are rejected.</w:t>
      </w:r>
    </w:p>
    <w:p w14:paraId="1B49A83C" w14:textId="77777777" w:rsidR="000977FB" w:rsidRDefault="000977FB" w:rsidP="000977FB">
      <w:pPr>
        <w:numPr>
          <w:ilvl w:val="0"/>
          <w:numId w:val="2"/>
        </w:numPr>
      </w:pPr>
      <w:r>
        <w:t>Damaged containers are rejected.</w:t>
      </w:r>
    </w:p>
    <w:p w14:paraId="73C7C45C" w14:textId="7CB53694" w:rsidR="000977FB" w:rsidRDefault="000977FB" w:rsidP="00B313E0">
      <w:pPr>
        <w:numPr>
          <w:ilvl w:val="0"/>
          <w:numId w:val="2"/>
        </w:numPr>
      </w:pPr>
      <w:r>
        <w:t>Trucks are inspected for cleanliness (no spillage)</w:t>
      </w:r>
      <w:r w:rsidR="007109F3">
        <w:t xml:space="preserve">.  Review </w:t>
      </w:r>
      <w:r w:rsidR="00057EB6" w:rsidRPr="00057EB6">
        <w:rPr>
          <w:i/>
          <w:color w:val="FF0000"/>
        </w:rPr>
        <w:t xml:space="preserve">insert applicable </w:t>
      </w:r>
      <w:proofErr w:type="spellStart"/>
      <w:r w:rsidR="00057EB6" w:rsidRPr="00057EB6">
        <w:rPr>
          <w:i/>
          <w:color w:val="FF0000"/>
        </w:rPr>
        <w:t>applicable</w:t>
      </w:r>
      <w:proofErr w:type="spellEnd"/>
      <w:r w:rsidR="00057EB6" w:rsidRPr="00057EB6">
        <w:rPr>
          <w:i/>
          <w:color w:val="FF0000"/>
        </w:rPr>
        <w:t xml:space="preserve"> document # </w:t>
      </w:r>
      <w:proofErr w:type="gramStart"/>
      <w:r w:rsidR="00057EB6" w:rsidRPr="00057EB6">
        <w:rPr>
          <w:i/>
          <w:color w:val="FF0000"/>
        </w:rPr>
        <w:t>here</w:t>
      </w:r>
      <w:r w:rsidR="00057EB6">
        <w:t xml:space="preserve"> </w:t>
      </w:r>
      <w:r w:rsidR="007109F3">
        <w:t xml:space="preserve"> –</w:t>
      </w:r>
      <w:proofErr w:type="gramEnd"/>
      <w:r w:rsidR="007109F3">
        <w:t xml:space="preserve"> </w:t>
      </w:r>
      <w:r w:rsidR="00057EB6">
        <w:t xml:space="preserve"> </w:t>
      </w:r>
      <w:r w:rsidR="007109F3">
        <w:t xml:space="preserve">Good Manufacturing Practices – Receiving Procedures for further details.  </w:t>
      </w:r>
    </w:p>
    <w:p w14:paraId="51C4F0F6" w14:textId="77777777" w:rsidR="007109F3" w:rsidRDefault="007109F3" w:rsidP="000977FB">
      <w:pPr>
        <w:rPr>
          <w:b/>
        </w:rPr>
      </w:pPr>
    </w:p>
    <w:p w14:paraId="0B5CEACE" w14:textId="77777777" w:rsidR="000977FB" w:rsidRDefault="000977FB" w:rsidP="007109F3">
      <w:pPr>
        <w:numPr>
          <w:ilvl w:val="0"/>
          <w:numId w:val="1"/>
        </w:numPr>
        <w:rPr>
          <w:b/>
        </w:rPr>
      </w:pPr>
      <w:r>
        <w:rPr>
          <w:b/>
        </w:rPr>
        <w:t>Storage:</w:t>
      </w:r>
    </w:p>
    <w:p w14:paraId="06A8A7B9" w14:textId="77777777" w:rsidR="000977FB" w:rsidRDefault="000977FB" w:rsidP="000977FB"/>
    <w:p w14:paraId="0F37113E" w14:textId="77777777" w:rsidR="000977FB" w:rsidRDefault="000977FB" w:rsidP="007109F3">
      <w:pPr>
        <w:numPr>
          <w:ilvl w:val="0"/>
          <w:numId w:val="5"/>
        </w:numPr>
      </w:pPr>
      <w:r>
        <w:t>Spills are cleaned as soon as possible to minimize cross contact.</w:t>
      </w:r>
    </w:p>
    <w:p w14:paraId="4E9D315E" w14:textId="77777777" w:rsidR="000977FB" w:rsidRDefault="000977FB" w:rsidP="007109F3">
      <w:pPr>
        <w:numPr>
          <w:ilvl w:val="0"/>
          <w:numId w:val="5"/>
        </w:numPr>
      </w:pPr>
      <w:r>
        <w:t>Containers are kept clean and sealed. Bags are kept clean and sealed with tape.</w:t>
      </w:r>
    </w:p>
    <w:p w14:paraId="7F7BC5AD" w14:textId="77777777" w:rsidR="000977FB" w:rsidRDefault="000977FB" w:rsidP="007109F3">
      <w:pPr>
        <w:numPr>
          <w:ilvl w:val="0"/>
          <w:numId w:val="5"/>
        </w:numPr>
      </w:pPr>
      <w:r>
        <w:t>When possible, storage areas are designated for allergenic and non-allergenic ingredients.</w:t>
      </w:r>
    </w:p>
    <w:p w14:paraId="4A5B7894" w14:textId="77777777" w:rsidR="003F724D" w:rsidRDefault="003F724D" w:rsidP="007109F3">
      <w:pPr>
        <w:numPr>
          <w:ilvl w:val="0"/>
          <w:numId w:val="5"/>
        </w:numPr>
      </w:pPr>
      <w:r>
        <w:t>All boxes, bags and buckets/pails are completely sealed at all times.</w:t>
      </w:r>
    </w:p>
    <w:p w14:paraId="322DB3FC" w14:textId="77777777" w:rsidR="003F724D" w:rsidRDefault="003F724D" w:rsidP="007109F3">
      <w:pPr>
        <w:numPr>
          <w:ilvl w:val="0"/>
          <w:numId w:val="5"/>
        </w:numPr>
      </w:pPr>
      <w:r>
        <w:t>Labels on all containers are readable.</w:t>
      </w:r>
    </w:p>
    <w:p w14:paraId="1E5EABCE" w14:textId="77777777" w:rsidR="003F724D" w:rsidRDefault="003F724D" w:rsidP="007109F3">
      <w:pPr>
        <w:numPr>
          <w:ilvl w:val="0"/>
          <w:numId w:val="5"/>
        </w:numPr>
      </w:pPr>
      <w:r>
        <w:t>Ingredients containing allergens are separated from non-allergen ingredients.</w:t>
      </w:r>
    </w:p>
    <w:p w14:paraId="30F1CED6" w14:textId="77777777" w:rsidR="000977FB" w:rsidRDefault="000977FB" w:rsidP="000977FB"/>
    <w:p w14:paraId="4798A8C8" w14:textId="77777777" w:rsidR="000977FB" w:rsidRDefault="000977FB" w:rsidP="007109F3">
      <w:pPr>
        <w:numPr>
          <w:ilvl w:val="0"/>
          <w:numId w:val="1"/>
        </w:numPr>
        <w:rPr>
          <w:b/>
        </w:rPr>
      </w:pPr>
      <w:r>
        <w:rPr>
          <w:b/>
        </w:rPr>
        <w:t>Documentation:</w:t>
      </w:r>
    </w:p>
    <w:p w14:paraId="468FCD9C" w14:textId="77777777" w:rsidR="000977FB" w:rsidRDefault="000977FB" w:rsidP="000977FB"/>
    <w:p w14:paraId="15CFA20E" w14:textId="77777777" w:rsidR="000977FB" w:rsidRDefault="000977FB" w:rsidP="007109F3">
      <w:pPr>
        <w:numPr>
          <w:ilvl w:val="0"/>
          <w:numId w:val="6"/>
        </w:numPr>
      </w:pPr>
      <w:r>
        <w:t>Suppliers are evaluated before approval; they must furnish:</w:t>
      </w:r>
    </w:p>
    <w:p w14:paraId="5988B865" w14:textId="77777777" w:rsidR="000977FB" w:rsidRDefault="000977FB" w:rsidP="007109F3">
      <w:pPr>
        <w:numPr>
          <w:ilvl w:val="0"/>
          <w:numId w:val="7"/>
        </w:numPr>
      </w:pPr>
      <w:r>
        <w:t>Product specifications for evaluation</w:t>
      </w:r>
    </w:p>
    <w:p w14:paraId="6D16D534" w14:textId="77777777" w:rsidR="000977FB" w:rsidRDefault="000977FB" w:rsidP="007109F3">
      <w:pPr>
        <w:numPr>
          <w:ilvl w:val="0"/>
          <w:numId w:val="7"/>
        </w:numPr>
      </w:pPr>
      <w:r>
        <w:t xml:space="preserve">Letters of Guarantee for evaluation </w:t>
      </w:r>
    </w:p>
    <w:p w14:paraId="1FFE15EB" w14:textId="77777777" w:rsidR="000977FB" w:rsidRDefault="000977FB" w:rsidP="007109F3">
      <w:pPr>
        <w:numPr>
          <w:ilvl w:val="0"/>
          <w:numId w:val="7"/>
        </w:numPr>
      </w:pPr>
      <w:r>
        <w:t>Suppliers must show they are diligent and dedicated to controlling and managing allergens.</w:t>
      </w:r>
    </w:p>
    <w:p w14:paraId="719B8CBE" w14:textId="77777777" w:rsidR="007109F3" w:rsidRDefault="007109F3" w:rsidP="007109F3">
      <w:pPr>
        <w:numPr>
          <w:ilvl w:val="0"/>
          <w:numId w:val="7"/>
        </w:numPr>
      </w:pPr>
      <w:r>
        <w:t xml:space="preserve">Third Party Audits </w:t>
      </w:r>
      <w:r w:rsidR="00C461FD">
        <w:t>or comparable are obtained for significant vendors.</w:t>
      </w:r>
    </w:p>
    <w:p w14:paraId="777353F3" w14:textId="77777777" w:rsidR="000977FB" w:rsidRDefault="000977FB" w:rsidP="000977FB"/>
    <w:p w14:paraId="1E688618" w14:textId="77777777" w:rsidR="000977FB" w:rsidRDefault="000977FB" w:rsidP="00C461FD">
      <w:pPr>
        <w:numPr>
          <w:ilvl w:val="0"/>
          <w:numId w:val="1"/>
        </w:numPr>
        <w:rPr>
          <w:b/>
        </w:rPr>
      </w:pPr>
      <w:r>
        <w:rPr>
          <w:b/>
        </w:rPr>
        <w:t xml:space="preserve">Scheduling of </w:t>
      </w:r>
      <w:r w:rsidR="008F1827">
        <w:rPr>
          <w:b/>
        </w:rPr>
        <w:t>P</w:t>
      </w:r>
      <w:r>
        <w:rPr>
          <w:b/>
        </w:rPr>
        <w:t xml:space="preserve">rocessing </w:t>
      </w:r>
      <w:r w:rsidR="008F1827">
        <w:rPr>
          <w:b/>
        </w:rPr>
        <w:t>R</w:t>
      </w:r>
      <w:r>
        <w:rPr>
          <w:b/>
        </w:rPr>
        <w:t>uns:</w:t>
      </w:r>
    </w:p>
    <w:p w14:paraId="2AED0117" w14:textId="77777777" w:rsidR="000977FB" w:rsidRDefault="000977FB" w:rsidP="000977FB">
      <w:pPr>
        <w:rPr>
          <w:b/>
        </w:rPr>
      </w:pPr>
    </w:p>
    <w:p w14:paraId="614F95F0" w14:textId="15C8DE44" w:rsidR="000977FB" w:rsidRDefault="000977FB" w:rsidP="008F1827">
      <w:pPr>
        <w:ind w:left="720"/>
        <w:jc w:val="both"/>
      </w:pPr>
      <w:r>
        <w:t xml:space="preserve">Production is scheduled in a manner to minimize cross contact. </w:t>
      </w:r>
      <w:r w:rsidR="00C461FD">
        <w:t xml:space="preserve"> </w:t>
      </w:r>
      <w:r>
        <w:t>Non- allergenic products are processed first whenever possible (water ices are always made first,  products containing egg  last)</w:t>
      </w:r>
      <w:r w:rsidR="00C461FD">
        <w:t>;</w:t>
      </w:r>
      <w:r>
        <w:t xml:space="preserve"> flavors with inclusions containing allergens are made last; if not possible, inclusions are added by hand so that equipment does not become</w:t>
      </w:r>
      <w:r w:rsidR="00C461FD">
        <w:t xml:space="preserve"> </w:t>
      </w:r>
      <w:r>
        <w:t xml:space="preserve">contaminated. </w:t>
      </w:r>
      <w:r w:rsidR="00C461FD">
        <w:t xml:space="preserve">  If the fruit feeder is utilized, then it is broken down and cleaned </w:t>
      </w:r>
      <w:r w:rsidR="008F1827">
        <w:t xml:space="preserve">and sanitized </w:t>
      </w:r>
      <w:r w:rsidR="00C461FD">
        <w:t xml:space="preserve">prior to </w:t>
      </w:r>
      <w:r w:rsidR="008F1827">
        <w:t>n</w:t>
      </w:r>
      <w:r w:rsidR="00C461FD">
        <w:t xml:space="preserve">ext use.  </w:t>
      </w:r>
      <w:r>
        <w:t xml:space="preserve">Gloves are discarded after handling allergens. </w:t>
      </w:r>
      <w:r w:rsidR="00C461FD">
        <w:t xml:space="preserve"> </w:t>
      </w:r>
      <w:r>
        <w:t xml:space="preserve">Utensils are cleaned and sanitized after handling allergens. </w:t>
      </w:r>
      <w:r w:rsidR="00C461FD">
        <w:t xml:space="preserve"> </w:t>
      </w:r>
      <w:r>
        <w:t xml:space="preserve">Boxes, bags and pails are closed or sealed with tape after use. </w:t>
      </w:r>
      <w:r w:rsidR="008F1827">
        <w:t xml:space="preserve"> </w:t>
      </w:r>
      <w:r>
        <w:t>A full clean</w:t>
      </w:r>
      <w:r w:rsidR="008F1827">
        <w:t>-</w:t>
      </w:r>
      <w:r>
        <w:t>up is scheduled at the end of each production day.</w:t>
      </w:r>
    </w:p>
    <w:p w14:paraId="56039544" w14:textId="6282453E" w:rsidR="0048023A" w:rsidRDefault="0048023A" w:rsidP="008F1827">
      <w:pPr>
        <w:ind w:left="720"/>
        <w:jc w:val="both"/>
      </w:pPr>
    </w:p>
    <w:p w14:paraId="3AA738CF" w14:textId="3C3B3C82" w:rsidR="0048023A" w:rsidRDefault="0048023A" w:rsidP="008F1827">
      <w:pPr>
        <w:ind w:left="720"/>
        <w:jc w:val="both"/>
      </w:pPr>
    </w:p>
    <w:p w14:paraId="478D22DD" w14:textId="77777777" w:rsidR="0048023A" w:rsidRDefault="0048023A" w:rsidP="008F1827">
      <w:pPr>
        <w:ind w:left="720"/>
        <w:jc w:val="both"/>
      </w:pPr>
    </w:p>
    <w:p w14:paraId="4537F613" w14:textId="77777777" w:rsidR="000977FB" w:rsidRPr="008F1827" w:rsidRDefault="000977FB" w:rsidP="008F1827">
      <w:pPr>
        <w:pStyle w:val="Heading5"/>
        <w:numPr>
          <w:ilvl w:val="0"/>
          <w:numId w:val="8"/>
        </w:numPr>
        <w:rPr>
          <w:i w:val="0"/>
        </w:rPr>
      </w:pPr>
      <w:r w:rsidRPr="008F1827">
        <w:rPr>
          <w:i w:val="0"/>
        </w:rPr>
        <w:lastRenderedPageBreak/>
        <w:t xml:space="preserve">During </w:t>
      </w:r>
      <w:r w:rsidR="00010E48">
        <w:rPr>
          <w:i w:val="0"/>
        </w:rPr>
        <w:t>Production:</w:t>
      </w:r>
    </w:p>
    <w:p w14:paraId="0EE8013C" w14:textId="77777777" w:rsidR="000977FB" w:rsidRDefault="000977FB" w:rsidP="000977FB"/>
    <w:p w14:paraId="75841576" w14:textId="77777777" w:rsidR="000977FB" w:rsidRDefault="000977FB" w:rsidP="00010E48">
      <w:pPr>
        <w:numPr>
          <w:ilvl w:val="0"/>
          <w:numId w:val="6"/>
        </w:numPr>
      </w:pPr>
      <w:r>
        <w:t>Equipment is kept covered to prevent cross contamination.</w:t>
      </w:r>
    </w:p>
    <w:p w14:paraId="673858AF" w14:textId="77777777" w:rsidR="007776BD" w:rsidRDefault="000977FB" w:rsidP="00010E48">
      <w:pPr>
        <w:numPr>
          <w:ilvl w:val="0"/>
          <w:numId w:val="6"/>
        </w:numPr>
      </w:pPr>
      <w:r>
        <w:t>Rework policy</w:t>
      </w:r>
    </w:p>
    <w:p w14:paraId="77AF257C" w14:textId="3B23F183" w:rsidR="009474DD" w:rsidRPr="00057EB6" w:rsidRDefault="009474DD" w:rsidP="009474DD">
      <w:pPr>
        <w:numPr>
          <w:ilvl w:val="1"/>
          <w:numId w:val="6"/>
        </w:numPr>
        <w:rPr>
          <w:i/>
          <w:color w:val="FF0000"/>
        </w:rPr>
      </w:pPr>
      <w:r>
        <w:t>Rework must be approved/supervised by</w:t>
      </w:r>
      <w:r w:rsidR="00057EB6">
        <w:t xml:space="preserve"> </w:t>
      </w:r>
      <w:r w:rsidR="00057EB6" w:rsidRPr="00057EB6">
        <w:rPr>
          <w:i/>
          <w:color w:val="FF0000"/>
        </w:rPr>
        <w:t xml:space="preserve">insert applicable person or dept example:  </w:t>
      </w:r>
      <w:r w:rsidRPr="00057EB6">
        <w:rPr>
          <w:i/>
          <w:color w:val="FF0000"/>
        </w:rPr>
        <w:t xml:space="preserve"> QC Department</w:t>
      </w:r>
    </w:p>
    <w:p w14:paraId="153E062D" w14:textId="77777777" w:rsidR="007776BD" w:rsidRDefault="007776BD" w:rsidP="007776BD">
      <w:pPr>
        <w:numPr>
          <w:ilvl w:val="1"/>
          <w:numId w:val="6"/>
        </w:numPr>
      </w:pPr>
      <w:r>
        <w:rPr>
          <w:b/>
          <w:u w:val="single"/>
        </w:rPr>
        <w:t>LIKE INTO LIKE ONLY</w:t>
      </w:r>
      <w:r w:rsidR="000977FB">
        <w:t xml:space="preserve">. </w:t>
      </w:r>
    </w:p>
    <w:p w14:paraId="077FB734" w14:textId="5F60D42C" w:rsidR="000977FB" w:rsidRPr="00057EB6" w:rsidRDefault="000977FB" w:rsidP="007776BD">
      <w:pPr>
        <w:numPr>
          <w:ilvl w:val="1"/>
          <w:numId w:val="6"/>
        </w:numPr>
        <w:rPr>
          <w:i/>
          <w:color w:val="FF0000"/>
        </w:rPr>
      </w:pPr>
      <w:r>
        <w:t xml:space="preserve">Rework is </w:t>
      </w:r>
      <w:r w:rsidR="007776BD">
        <w:t xml:space="preserve">documented on production sheets and Rework log located in </w:t>
      </w:r>
      <w:r w:rsidR="00057EB6" w:rsidRPr="00057EB6">
        <w:rPr>
          <w:i/>
          <w:color w:val="FF0000"/>
        </w:rPr>
        <w:t xml:space="preserve">insert applicable location </w:t>
      </w:r>
    </w:p>
    <w:p w14:paraId="49A40AF9" w14:textId="77777777" w:rsidR="000977FB" w:rsidRDefault="000977FB" w:rsidP="007776BD">
      <w:pPr>
        <w:numPr>
          <w:ilvl w:val="1"/>
          <w:numId w:val="6"/>
        </w:numPr>
      </w:pPr>
      <w:r>
        <w:t>Rework containers a</w:t>
      </w:r>
      <w:r w:rsidR="009474DD">
        <w:t>re properly labeled and covered</w:t>
      </w:r>
    </w:p>
    <w:p w14:paraId="3545DE6E" w14:textId="77777777" w:rsidR="009474DD" w:rsidRDefault="009474DD" w:rsidP="009474DD">
      <w:pPr>
        <w:numPr>
          <w:ilvl w:val="2"/>
          <w:numId w:val="6"/>
        </w:numPr>
      </w:pPr>
      <w:r>
        <w:t>Identified and traceable</w:t>
      </w:r>
    </w:p>
    <w:p w14:paraId="5472F1FC" w14:textId="77777777" w:rsidR="000977FB" w:rsidRDefault="000977FB" w:rsidP="00DF6415">
      <w:pPr>
        <w:numPr>
          <w:ilvl w:val="0"/>
          <w:numId w:val="6"/>
        </w:numPr>
      </w:pPr>
      <w:r>
        <w:t>Containers are cleaned and sanitized after use.</w:t>
      </w:r>
    </w:p>
    <w:p w14:paraId="58BA2A16" w14:textId="77777777" w:rsidR="003F724D" w:rsidRDefault="003F724D" w:rsidP="00DF6415">
      <w:pPr>
        <w:numPr>
          <w:ilvl w:val="0"/>
          <w:numId w:val="6"/>
        </w:numPr>
      </w:pPr>
      <w:r>
        <w:t>All ingredient labels are to be visible at all times.</w:t>
      </w:r>
    </w:p>
    <w:p w14:paraId="78ED6A27" w14:textId="77777777" w:rsidR="003F724D" w:rsidRDefault="003F724D" w:rsidP="00DF6415">
      <w:pPr>
        <w:numPr>
          <w:ilvl w:val="0"/>
          <w:numId w:val="6"/>
        </w:numPr>
      </w:pPr>
      <w:r>
        <w:t xml:space="preserve">Double check all ingredients PRIOR to use to confirm correct ingredient and flavor properly labeled.  </w:t>
      </w:r>
    </w:p>
    <w:p w14:paraId="470E440B" w14:textId="77777777" w:rsidR="000977FB" w:rsidRPr="00010E48" w:rsidRDefault="000977FB" w:rsidP="00010E48">
      <w:pPr>
        <w:pStyle w:val="Heading5"/>
        <w:numPr>
          <w:ilvl w:val="0"/>
          <w:numId w:val="8"/>
        </w:numPr>
        <w:rPr>
          <w:i w:val="0"/>
        </w:rPr>
      </w:pPr>
      <w:r w:rsidRPr="00010E48">
        <w:rPr>
          <w:i w:val="0"/>
        </w:rPr>
        <w:t>Labeling of products (PREVENT</w:t>
      </w:r>
      <w:r w:rsidR="00B02DEB">
        <w:rPr>
          <w:i w:val="0"/>
        </w:rPr>
        <w:t>AT</w:t>
      </w:r>
      <w:r w:rsidRPr="00010E48">
        <w:rPr>
          <w:i w:val="0"/>
        </w:rPr>
        <w:t>IVE CONTROL)</w:t>
      </w:r>
      <w:r w:rsidR="00010E48">
        <w:rPr>
          <w:i w:val="0"/>
        </w:rPr>
        <w:t>:</w:t>
      </w:r>
    </w:p>
    <w:p w14:paraId="095526CD" w14:textId="77777777" w:rsidR="000977FB" w:rsidRDefault="000977FB" w:rsidP="000977FB"/>
    <w:p w14:paraId="22BE40EB" w14:textId="77777777" w:rsidR="000977FB" w:rsidRPr="00D73004" w:rsidRDefault="000977FB" w:rsidP="00010E48">
      <w:pPr>
        <w:jc w:val="both"/>
      </w:pPr>
      <w:r>
        <w:t xml:space="preserve"> </w:t>
      </w:r>
      <w:r w:rsidR="00010E48">
        <w:tab/>
      </w:r>
      <w:r>
        <w:t>A policy is in place when making a new product or when making changes to current products.</w:t>
      </w:r>
    </w:p>
    <w:p w14:paraId="77CD44EB" w14:textId="77777777" w:rsidR="000977FB" w:rsidRDefault="000977FB" w:rsidP="00010E48">
      <w:pPr>
        <w:jc w:val="both"/>
      </w:pPr>
    </w:p>
    <w:p w14:paraId="18D9EB80" w14:textId="5A22CBDE" w:rsidR="000977FB" w:rsidRDefault="00057EB6" w:rsidP="00010E48">
      <w:pPr>
        <w:ind w:left="720"/>
        <w:jc w:val="both"/>
      </w:pPr>
      <w:r w:rsidRPr="00057EB6">
        <w:rPr>
          <w:i/>
          <w:color w:val="FF0000"/>
        </w:rPr>
        <w:t xml:space="preserve">Insert applicable manager examples </w:t>
      </w:r>
      <w:r w:rsidR="000977FB" w:rsidRPr="00057EB6">
        <w:rPr>
          <w:i/>
          <w:color w:val="FF0000"/>
        </w:rPr>
        <w:t>Q.C. Director</w:t>
      </w:r>
      <w:r w:rsidR="000977FB">
        <w:t xml:space="preserve"> is notified when a new product is to be made so that all ingredients to be used in the formula are reflected on the new product label; when a formula is changed, it is reflected on the label immediately. La</w:t>
      </w:r>
      <w:r w:rsidR="00010E48">
        <w:t xml:space="preserve">bels are designed </w:t>
      </w:r>
      <w:r w:rsidRPr="00057EB6">
        <w:rPr>
          <w:i/>
          <w:color w:val="FF0000"/>
        </w:rPr>
        <w:t xml:space="preserve">insert applicable person example:  </w:t>
      </w:r>
      <w:r w:rsidR="00010E48" w:rsidRPr="00057EB6">
        <w:rPr>
          <w:i/>
          <w:color w:val="FF0000"/>
        </w:rPr>
        <w:t>in-house by Q</w:t>
      </w:r>
      <w:r w:rsidR="000977FB" w:rsidRPr="00057EB6">
        <w:rPr>
          <w:i/>
          <w:color w:val="FF0000"/>
        </w:rPr>
        <w:t>C Director</w:t>
      </w:r>
      <w:r w:rsidR="000977FB">
        <w:t xml:space="preserve"> who is notified by </w:t>
      </w:r>
      <w:r w:rsidRPr="00057EB6">
        <w:rPr>
          <w:i/>
          <w:color w:val="FF0000"/>
        </w:rPr>
        <w:t xml:space="preserve">insert applicable person example:  </w:t>
      </w:r>
      <w:r w:rsidRPr="00057EB6">
        <w:rPr>
          <w:color w:val="FF0000"/>
        </w:rPr>
        <w:t>P</w:t>
      </w:r>
      <w:r w:rsidR="000977FB" w:rsidRPr="00057EB6">
        <w:rPr>
          <w:color w:val="FF0000"/>
        </w:rPr>
        <w:t>roduction Manager/</w:t>
      </w:r>
      <w:r w:rsidR="00010E48" w:rsidRPr="00057EB6">
        <w:rPr>
          <w:color w:val="FF0000"/>
        </w:rPr>
        <w:t>S</w:t>
      </w:r>
      <w:r w:rsidR="000977FB" w:rsidRPr="00057EB6">
        <w:rPr>
          <w:color w:val="FF0000"/>
        </w:rPr>
        <w:t>V</w:t>
      </w:r>
      <w:r w:rsidR="00010E48" w:rsidRPr="00057EB6">
        <w:rPr>
          <w:color w:val="FF0000"/>
        </w:rPr>
        <w:t>P</w:t>
      </w:r>
      <w:r w:rsidR="000977FB" w:rsidRPr="00057EB6">
        <w:rPr>
          <w:color w:val="FF0000"/>
        </w:rPr>
        <w:t xml:space="preserve"> </w:t>
      </w:r>
      <w:r w:rsidR="000977FB">
        <w:t>of any new product or change in current product.</w:t>
      </w:r>
    </w:p>
    <w:p w14:paraId="7B2C585A" w14:textId="77777777" w:rsidR="000977FB" w:rsidRDefault="000977FB" w:rsidP="00010E48">
      <w:pPr>
        <w:jc w:val="both"/>
      </w:pPr>
    </w:p>
    <w:p w14:paraId="1BE34F91" w14:textId="77777777" w:rsidR="000977FB" w:rsidRDefault="000977FB" w:rsidP="006B1F38">
      <w:pPr>
        <w:ind w:left="720"/>
        <w:jc w:val="both"/>
      </w:pPr>
      <w:bookmarkStart w:id="0" w:name="_GoBack"/>
      <w:bookmarkEnd w:id="0"/>
      <w:r>
        <w:t xml:space="preserve">Line supervisors are trained on allergen control </w:t>
      </w:r>
      <w:r w:rsidR="00010E48">
        <w:t xml:space="preserve">program </w:t>
      </w:r>
      <w:r>
        <w:t>to ensure labels are switched appropriately at product changeover.</w:t>
      </w:r>
    </w:p>
    <w:p w14:paraId="7A701FA6" w14:textId="77777777" w:rsidR="004749C8" w:rsidRDefault="004749C8" w:rsidP="00754FA7"/>
    <w:p w14:paraId="3A7B296D" w14:textId="0203FD82" w:rsidR="003F724D" w:rsidRPr="00754FA7" w:rsidRDefault="003F724D" w:rsidP="003F724D">
      <w:pPr>
        <w:ind w:left="720"/>
      </w:pPr>
      <w:r>
        <w:t xml:space="preserve">Products produced by </w:t>
      </w:r>
      <w:r w:rsidR="00057EB6" w:rsidRPr="00057EB6">
        <w:rPr>
          <w:i/>
          <w:color w:val="FF0000"/>
        </w:rPr>
        <w:t xml:space="preserve">insert company name here </w:t>
      </w:r>
      <w:r>
        <w:t xml:space="preserve">are </w:t>
      </w:r>
      <w:proofErr w:type="gramStart"/>
      <w:r>
        <w:t>properly  labeled</w:t>
      </w:r>
      <w:proofErr w:type="gramEnd"/>
      <w:r>
        <w:t xml:space="preserve"> in accordance with the Food Allergen Labeling and Consumer Protection Act</w:t>
      </w:r>
      <w:r w:rsidR="00277C10">
        <w:t xml:space="preserve"> of 2004, “FALCPA”, which means labels must clearly identify the food source names of all ingredients that are/or contain any of the 8 major food allergens.  </w:t>
      </w:r>
    </w:p>
    <w:sectPr w:rsidR="003F724D" w:rsidRPr="00754FA7" w:rsidSect="00754FA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A7C5" w14:textId="77777777" w:rsidR="000B674B" w:rsidRDefault="000B674B">
      <w:r>
        <w:separator/>
      </w:r>
    </w:p>
  </w:endnote>
  <w:endnote w:type="continuationSeparator" w:id="0">
    <w:p w14:paraId="2E0C5612" w14:textId="77777777" w:rsidR="000B674B" w:rsidRDefault="000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5BC0" w14:textId="77777777"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9474DD">
      <w:rPr>
        <w:noProof/>
        <w:color w:val="5B9BD5"/>
      </w:rPr>
      <w:t>2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9474DD">
      <w:rPr>
        <w:noProof/>
        <w:color w:val="5B9BD5"/>
      </w:rPr>
      <w:t>2</w:t>
    </w:r>
    <w:r w:rsidRPr="003E77C9">
      <w:rPr>
        <w:color w:val="5B9BD5"/>
      </w:rPr>
      <w:fldChar w:fldCharType="end"/>
    </w:r>
  </w:p>
  <w:p w14:paraId="6241CF2E" w14:textId="77777777" w:rsidR="00754FA7" w:rsidRDefault="0075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C423" w14:textId="77777777" w:rsidR="000B674B" w:rsidRDefault="000B674B">
      <w:r>
        <w:separator/>
      </w:r>
    </w:p>
  </w:footnote>
  <w:footnote w:type="continuationSeparator" w:id="0">
    <w:p w14:paraId="5115D47C" w14:textId="77777777" w:rsidR="000B674B" w:rsidRDefault="000B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9417" w14:textId="77777777" w:rsidR="004F2FE8" w:rsidRDefault="000B674B">
    <w:pPr>
      <w:pStyle w:val="Header"/>
    </w:pPr>
    <w:r>
      <w:rPr>
        <w:noProof/>
      </w:rPr>
      <w:pict w14:anchorId="2508D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735" o:spid="_x0000_s2051" type="#_x0000_t136" style="position:absolute;margin-left:0;margin-top:0;width:721.15pt;height:40.0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DB3F4" w14:textId="43ED5451" w:rsidR="004749C8" w:rsidRDefault="000B674B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5F99C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736" o:spid="_x0000_s2052" type="#_x0000_t136" style="position:absolute;margin-left:0;margin-top:0;width:762.5pt;height:40.0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 w:rsidR="00057EB6">
      <w:rPr>
        <w:noProof/>
      </w:rPr>
      <w:t>Company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53C49BD0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3F8D7C32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31E25ADD" w14:textId="103D9AAB" w:rsidR="004209AD" w:rsidRDefault="004209AD" w:rsidP="000977FB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605DB77F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389A5800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142EBEE3" w14:textId="26635050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326647DF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06556359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14D10981" w14:textId="4B0CDDC3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208AD780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18DFFDB9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64154F2A" w14:textId="47A44D5E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1FEF7A78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097A09CB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29D65E61" w14:textId="3DDADC2E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413A0F28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707E75A2" w14:textId="7E70863D" w:rsidR="004749C8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057EB6">
      <w:rPr>
        <w:rFonts w:ascii="Arial" w:hAnsi="Arial" w:cs="Arial"/>
        <w:sz w:val="16"/>
      </w:rPr>
      <w:t>Company Name, address, phone # and brief description</w:t>
    </w:r>
  </w:p>
  <w:p w14:paraId="3E73C279" w14:textId="77777777" w:rsidR="00754FA7" w:rsidRDefault="00754FA7">
    <w:pPr>
      <w:pStyle w:val="Header"/>
      <w:rPr>
        <w:rFonts w:ascii="Arial" w:hAnsi="Arial" w:cs="Arial"/>
        <w:b/>
        <w:bCs/>
        <w:sz w:val="28"/>
        <w:u w:val="single"/>
      </w:rPr>
    </w:pPr>
  </w:p>
  <w:p w14:paraId="69257A59" w14:textId="77777777" w:rsidR="00057EB6" w:rsidRDefault="00057EB6">
    <w:pPr>
      <w:pStyle w:val="Header"/>
      <w:rPr>
        <w:rFonts w:ascii="Arial" w:hAnsi="Arial" w:cs="Arial"/>
        <w:b/>
        <w:bCs/>
        <w:sz w:val="28"/>
        <w:u w:val="single"/>
      </w:rPr>
    </w:pPr>
  </w:p>
  <w:p w14:paraId="79F86C80" w14:textId="4EDB4F42" w:rsidR="00EC7862" w:rsidRDefault="000977FB">
    <w:pPr>
      <w:pStyle w:val="Head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28"/>
        <w:u w:val="single"/>
      </w:rPr>
      <w:t>Allergen Control Program</w:t>
    </w:r>
    <w:r w:rsidR="00057EB6">
      <w:rPr>
        <w:rFonts w:ascii="Arial" w:hAnsi="Arial" w:cs="Arial"/>
        <w:b/>
        <w:bCs/>
        <w:sz w:val="28"/>
        <w:u w:val="single"/>
      </w:rPr>
      <w:t xml:space="preserve"> – Sample Template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CA9E" w14:textId="77777777" w:rsidR="004F2FE8" w:rsidRDefault="000B674B">
    <w:pPr>
      <w:pStyle w:val="Header"/>
    </w:pPr>
    <w:r>
      <w:rPr>
        <w:noProof/>
      </w:rPr>
      <w:pict w14:anchorId="1C21C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734" o:spid="_x0000_s2050" type="#_x0000_t136" style="position:absolute;margin-left:0;margin-top:0;width:721.15pt;height:40.0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48A4"/>
    <w:multiLevelType w:val="hybridMultilevel"/>
    <w:tmpl w:val="03DEB5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C5469"/>
    <w:multiLevelType w:val="hybridMultilevel"/>
    <w:tmpl w:val="E9AE7F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22F3D"/>
    <w:multiLevelType w:val="hybridMultilevel"/>
    <w:tmpl w:val="5868F3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CF754A"/>
    <w:multiLevelType w:val="hybridMultilevel"/>
    <w:tmpl w:val="908E28C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FC60CDD"/>
    <w:multiLevelType w:val="hybridMultilevel"/>
    <w:tmpl w:val="01602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131D"/>
    <w:multiLevelType w:val="hybridMultilevel"/>
    <w:tmpl w:val="D754629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A02712"/>
    <w:multiLevelType w:val="hybridMultilevel"/>
    <w:tmpl w:val="1B329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7472D"/>
    <w:multiLevelType w:val="hybridMultilevel"/>
    <w:tmpl w:val="B3DEE3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10E48"/>
    <w:rsid w:val="000470E8"/>
    <w:rsid w:val="00052717"/>
    <w:rsid w:val="00057EB6"/>
    <w:rsid w:val="000977FB"/>
    <w:rsid w:val="000B674B"/>
    <w:rsid w:val="000E7C9C"/>
    <w:rsid w:val="001A09C8"/>
    <w:rsid w:val="001B3951"/>
    <w:rsid w:val="001B4598"/>
    <w:rsid w:val="00210ADB"/>
    <w:rsid w:val="002344B0"/>
    <w:rsid w:val="00277C10"/>
    <w:rsid w:val="002A572E"/>
    <w:rsid w:val="003436CA"/>
    <w:rsid w:val="00360BA2"/>
    <w:rsid w:val="003838B1"/>
    <w:rsid w:val="003D75D0"/>
    <w:rsid w:val="003E77C9"/>
    <w:rsid w:val="003F724D"/>
    <w:rsid w:val="00410E53"/>
    <w:rsid w:val="004209AD"/>
    <w:rsid w:val="004474EC"/>
    <w:rsid w:val="004749C8"/>
    <w:rsid w:val="0048023A"/>
    <w:rsid w:val="004F2FE8"/>
    <w:rsid w:val="004F481B"/>
    <w:rsid w:val="00503ABF"/>
    <w:rsid w:val="00566544"/>
    <w:rsid w:val="00620733"/>
    <w:rsid w:val="0064015D"/>
    <w:rsid w:val="00652BE7"/>
    <w:rsid w:val="006B1F38"/>
    <w:rsid w:val="006C669B"/>
    <w:rsid w:val="006F173F"/>
    <w:rsid w:val="007109F3"/>
    <w:rsid w:val="00711FCE"/>
    <w:rsid w:val="0073461C"/>
    <w:rsid w:val="00754FA7"/>
    <w:rsid w:val="00762F07"/>
    <w:rsid w:val="0076520F"/>
    <w:rsid w:val="00767FB6"/>
    <w:rsid w:val="007776BD"/>
    <w:rsid w:val="007929AA"/>
    <w:rsid w:val="007E33CB"/>
    <w:rsid w:val="007F5DE6"/>
    <w:rsid w:val="008667CA"/>
    <w:rsid w:val="008D695B"/>
    <w:rsid w:val="008F1827"/>
    <w:rsid w:val="009474DD"/>
    <w:rsid w:val="00950422"/>
    <w:rsid w:val="00956F24"/>
    <w:rsid w:val="00963B1A"/>
    <w:rsid w:val="00971499"/>
    <w:rsid w:val="009B73E1"/>
    <w:rsid w:val="009C64B3"/>
    <w:rsid w:val="009D1319"/>
    <w:rsid w:val="00A377B9"/>
    <w:rsid w:val="00A535A0"/>
    <w:rsid w:val="00AD553B"/>
    <w:rsid w:val="00B02DEB"/>
    <w:rsid w:val="00B159D7"/>
    <w:rsid w:val="00B51043"/>
    <w:rsid w:val="00B55924"/>
    <w:rsid w:val="00BD6A11"/>
    <w:rsid w:val="00C34144"/>
    <w:rsid w:val="00C3522E"/>
    <w:rsid w:val="00C461FD"/>
    <w:rsid w:val="00C91013"/>
    <w:rsid w:val="00E314DE"/>
    <w:rsid w:val="00EC7862"/>
    <w:rsid w:val="00ED653B"/>
    <w:rsid w:val="00F267AF"/>
    <w:rsid w:val="00F539AB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ED1266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7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  <w:style w:type="character" w:customStyle="1" w:styleId="Heading5Char">
    <w:name w:val="Heading 5 Char"/>
    <w:link w:val="Heading5"/>
    <w:semiHidden/>
    <w:rsid w:val="000977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ate">
    <w:name w:val="Date"/>
    <w:basedOn w:val="Normal"/>
    <w:next w:val="Normal"/>
    <w:link w:val="DateChar"/>
    <w:rsid w:val="000977FB"/>
  </w:style>
  <w:style w:type="character" w:customStyle="1" w:styleId="DateChar">
    <w:name w:val="Date Char"/>
    <w:link w:val="Date"/>
    <w:rsid w:val="00097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4</cp:revision>
  <cp:lastPrinted>2016-05-11T16:38:00Z</cp:lastPrinted>
  <dcterms:created xsi:type="dcterms:W3CDTF">2018-11-20T14:20:00Z</dcterms:created>
  <dcterms:modified xsi:type="dcterms:W3CDTF">2018-11-29T15:47:00Z</dcterms:modified>
</cp:coreProperties>
</file>